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C223D1">
      <w:pPr>
        <w:pStyle w:val="2"/>
        <w:bidi w:val="0"/>
        <w:jc w:val="center"/>
        <w:rPr>
          <w:rFonts w:hint="eastAsia"/>
          <w:lang w:val="en-US" w:eastAsia="zh-CN"/>
        </w:rPr>
      </w:pPr>
      <w:r>
        <w:rPr>
          <w:rFonts w:hint="eastAsia"/>
          <w:lang w:val="en-US" w:eastAsia="zh-CN"/>
        </w:rPr>
        <w:t>蟹壳云学-山东省专技人员继续教育</w:t>
      </w:r>
    </w:p>
    <w:p w14:paraId="77EF385D">
      <w:pPr>
        <w:pStyle w:val="2"/>
        <w:bidi w:val="0"/>
        <w:jc w:val="center"/>
        <w:rPr>
          <w:rFonts w:hint="eastAsia"/>
          <w:lang w:val="en-US" w:eastAsia="zh-CN"/>
        </w:rPr>
      </w:pPr>
      <w:r>
        <w:rPr>
          <w:rFonts w:hint="eastAsia"/>
          <w:lang w:val="en-US" w:eastAsia="zh-CN"/>
        </w:rPr>
        <w:t>平台操作手册</w:t>
      </w:r>
      <w:bookmarkStart w:id="0" w:name="_GoBack"/>
      <w:bookmarkEnd w:id="0"/>
    </w:p>
    <w:p w14:paraId="465B73A5">
      <w:pPr>
        <w:numPr>
          <w:ilvl w:val="0"/>
          <w:numId w:val="1"/>
        </w:numPr>
        <w:spacing w:line="360" w:lineRule="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注册及登录</w:t>
      </w:r>
    </w:p>
    <w:p w14:paraId="5FFEDF6B">
      <w:pPr>
        <w:numPr>
          <w:numId w:val="0"/>
        </w:num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请先访问</w:t>
      </w:r>
      <w:r>
        <w:rPr>
          <w:rFonts w:hint="eastAsia" w:ascii="仿宋_GB2312" w:hAnsi="仿宋_GB2312" w:eastAsia="仿宋_GB2312" w:cs="仿宋_GB2312"/>
          <w:b/>
          <w:bCs/>
          <w:sz w:val="28"/>
          <w:szCs w:val="28"/>
          <w:lang w:val="en-US" w:eastAsia="zh-CN"/>
        </w:rPr>
        <w:t>山东省专业技术人员继续教育公共服务平台</w:t>
      </w:r>
      <w:r>
        <w:rPr>
          <w:rFonts w:hint="eastAsia" w:ascii="仿宋_GB2312" w:hAnsi="仿宋_GB2312" w:eastAsia="仿宋_GB2312" w:cs="仿宋_GB2312"/>
          <w:sz w:val="28"/>
          <w:szCs w:val="28"/>
          <w:lang w:val="en-US" w:eastAsia="zh-CN"/>
        </w:rPr>
        <w:t>：http://117.73.255.69:9080</w:t>
      </w:r>
      <w:r>
        <w:rPr>
          <w:rFonts w:hint="eastAsia" w:ascii="仿宋_GB2312" w:hAnsi="仿宋_GB2312" w:eastAsia="仿宋_GB2312" w:cs="仿宋_GB2312"/>
          <w:sz w:val="28"/>
          <w:szCs w:val="28"/>
          <w:lang w:val="en-US" w:eastAsia="zh-CN"/>
        </w:rPr>
        <w:t>，如您未注册，请先点击注册，然后根据页面提示填写相关的信息，完成省管理平台的注册。</w:t>
      </w:r>
    </w:p>
    <w:p w14:paraId="7F3ABF03">
      <w:pPr>
        <w:numPr>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770" cy="2689860"/>
            <wp:effectExtent l="0" t="0" r="508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1770" cy="2689860"/>
                    </a:xfrm>
                    <a:prstGeom prst="rect">
                      <a:avLst/>
                    </a:prstGeom>
                    <a:noFill/>
                    <a:ln>
                      <a:noFill/>
                    </a:ln>
                  </pic:spPr>
                </pic:pic>
              </a:graphicData>
            </a:graphic>
          </wp:inline>
        </w:drawing>
      </w:r>
    </w:p>
    <w:p w14:paraId="24951515">
      <w:pPr>
        <w:numPr>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135" cy="4029710"/>
            <wp:effectExtent l="0" t="0" r="57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1135" cy="4029710"/>
                    </a:xfrm>
                    <a:prstGeom prst="rect">
                      <a:avLst/>
                    </a:prstGeom>
                    <a:noFill/>
                    <a:ln>
                      <a:noFill/>
                    </a:ln>
                  </pic:spPr>
                </pic:pic>
              </a:graphicData>
            </a:graphic>
          </wp:inline>
        </w:drawing>
      </w:r>
    </w:p>
    <w:p w14:paraId="3394A21A">
      <w:pPr>
        <w:numPr>
          <w:numId w:val="0"/>
        </w:num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注册完成后，返回登录框进行登录，选择【专业技术人员】输入身份证号码和密码、验证码，点击登录，然后点下方的【蟹壳云学】，</w:t>
      </w:r>
      <w:r>
        <w:rPr>
          <w:rFonts w:hint="eastAsia" w:ascii="仿宋_GB2312" w:hAnsi="仿宋_GB2312" w:eastAsia="仿宋_GB2312" w:cs="仿宋_GB2312"/>
          <w:sz w:val="28"/>
          <w:szCs w:val="28"/>
          <w:lang w:val="en-US" w:eastAsia="zh-CN"/>
        </w:rPr>
        <w:t>会自动跳转</w:t>
      </w:r>
      <w:r>
        <w:rPr>
          <w:rFonts w:hint="eastAsia" w:ascii="仿宋_GB2312" w:hAnsi="仿宋_GB2312" w:eastAsia="仿宋_GB2312" w:cs="仿宋_GB2312"/>
          <w:sz w:val="28"/>
          <w:szCs w:val="28"/>
          <w:lang w:val="en-US" w:eastAsia="zh-CN"/>
        </w:rPr>
        <w:t>并</w:t>
      </w:r>
      <w:r>
        <w:rPr>
          <w:rFonts w:hint="eastAsia" w:ascii="仿宋_GB2312" w:hAnsi="仿宋_GB2312" w:eastAsia="仿宋_GB2312" w:cs="仿宋_GB2312"/>
          <w:sz w:val="28"/>
          <w:szCs w:val="28"/>
          <w:lang w:val="en-US" w:eastAsia="zh-CN"/>
        </w:rPr>
        <w:t>注册</w:t>
      </w:r>
      <w:r>
        <w:rPr>
          <w:rFonts w:hint="eastAsia" w:ascii="仿宋_GB2312" w:hAnsi="仿宋_GB2312" w:eastAsia="仿宋_GB2312" w:cs="仿宋_GB2312"/>
          <w:sz w:val="28"/>
          <w:szCs w:val="28"/>
          <w:lang w:val="en-US" w:eastAsia="zh-CN"/>
        </w:rPr>
        <w:t>和</w:t>
      </w:r>
      <w:r>
        <w:rPr>
          <w:rFonts w:hint="eastAsia" w:ascii="仿宋_GB2312" w:hAnsi="仿宋_GB2312" w:eastAsia="仿宋_GB2312" w:cs="仿宋_GB2312"/>
          <w:sz w:val="28"/>
          <w:szCs w:val="28"/>
          <w:lang w:val="en-US" w:eastAsia="zh-CN"/>
        </w:rPr>
        <w:t>登录蟹壳云学账号。</w:t>
      </w:r>
    </w:p>
    <w:p w14:paraId="2C3D9E0D">
      <w:pPr>
        <w:numPr>
          <w:numId w:val="0"/>
        </w:num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73040" cy="372999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040" cy="3729990"/>
                    </a:xfrm>
                    <a:prstGeom prst="rect">
                      <a:avLst/>
                    </a:prstGeom>
                    <a:noFill/>
                    <a:ln>
                      <a:noFill/>
                    </a:ln>
                  </pic:spPr>
                </pic:pic>
              </a:graphicData>
            </a:graphic>
          </wp:inline>
        </w:drawing>
      </w:r>
    </w:p>
    <w:p w14:paraId="7A55A087">
      <w:pPr>
        <w:numPr>
          <w:numId w:val="0"/>
        </w:numPr>
        <w:spacing w:line="360" w:lineRule="auto"/>
        <w:rPr>
          <w:rFonts w:hint="eastAsia" w:ascii="仿宋_GB2312" w:hAnsi="仿宋_GB2312" w:eastAsia="仿宋_GB2312" w:cs="仿宋_GB2312"/>
          <w:sz w:val="28"/>
          <w:szCs w:val="28"/>
          <w:lang w:val="en-US" w:eastAsia="zh-CN"/>
        </w:rPr>
      </w:pPr>
    </w:p>
    <w:p w14:paraId="0D12A1AA">
      <w:pPr>
        <w:numPr>
          <w:ilvl w:val="0"/>
          <w:numId w:val="1"/>
        </w:numPr>
        <w:spacing w:line="360" w:lineRule="auto"/>
        <w:ind w:left="0" w:leftChars="0" w:firstLine="0" w:firstLineChars="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选择课程</w:t>
      </w:r>
    </w:p>
    <w:p w14:paraId="0E9411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登录成功后，可以点击首页上方的：公需课/专业课，选择自己需要学习的课程</w:t>
      </w:r>
    </w:p>
    <w:p w14:paraId="5F7638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b/>
          <w:bCs/>
          <w:i w:val="0"/>
          <w:iCs w:val="0"/>
          <w:caps w:val="0"/>
          <w:color w:val="333333"/>
          <w:spacing w:val="0"/>
          <w:sz w:val="28"/>
          <w:szCs w:val="28"/>
        </w:rPr>
      </w:pPr>
      <w:r>
        <w:rPr>
          <w:rFonts w:hint="eastAsia" w:ascii="仿宋_GB2312" w:hAnsi="仿宋_GB2312" w:eastAsia="仿宋_GB2312" w:cs="仿宋_GB2312"/>
          <w:b/>
          <w:bCs/>
          <w:i w:val="0"/>
          <w:iCs w:val="0"/>
          <w:caps w:val="0"/>
          <w:color w:val="333333"/>
          <w:spacing w:val="0"/>
          <w:sz w:val="28"/>
          <w:szCs w:val="28"/>
          <w:bdr w:val="none" w:color="auto" w:sz="0" w:space="0"/>
          <w:shd w:val="clear" w:fill="FFFFFF"/>
        </w:rPr>
        <w:t>请注意：</w:t>
      </w:r>
    </w:p>
    <w:p w14:paraId="0A980A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公需科目可以免费选择当年和往年的公需课，学习完成后</w:t>
      </w:r>
      <w:r>
        <w:rPr>
          <w:rFonts w:hint="eastAsia" w:ascii="仿宋_GB2312" w:hAnsi="仿宋_GB2312" w:eastAsia="仿宋_GB2312" w:cs="仿宋_GB2312"/>
          <w:b/>
          <w:bCs/>
          <w:i w:val="0"/>
          <w:iCs w:val="0"/>
          <w:caps w:val="0"/>
          <w:color w:val="333333"/>
          <w:spacing w:val="0"/>
          <w:sz w:val="28"/>
          <w:szCs w:val="28"/>
          <w:bdr w:val="none" w:color="auto" w:sz="0" w:space="0"/>
          <w:shd w:val="clear" w:fill="FFFFFF"/>
        </w:rPr>
        <w:t>省直单位</w:t>
      </w:r>
      <w:r>
        <w:rPr>
          <w:rFonts w:hint="eastAsia" w:ascii="仿宋_GB2312" w:hAnsi="仿宋_GB2312" w:eastAsia="仿宋_GB2312" w:cs="仿宋_GB2312"/>
          <w:i w:val="0"/>
          <w:iCs w:val="0"/>
          <w:caps w:val="0"/>
          <w:color w:val="333333"/>
          <w:spacing w:val="0"/>
          <w:sz w:val="28"/>
          <w:szCs w:val="28"/>
          <w:bdr w:val="none" w:color="auto" w:sz="0" w:space="0"/>
          <w:shd w:val="clear" w:fill="FFFFFF"/>
        </w:rPr>
        <w:t>学员学时可以自动对接到山东省专业技术人员继续教育公共服务平台的“年度完成情况”</w:t>
      </w:r>
    </w:p>
    <w:p w14:paraId="51C5D0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bdr w:val="none" w:color="auto" w:sz="0" w:space="0"/>
          <w:shd w:val="clear" w:fill="FFFFFF"/>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专业科目可以选择近五年的课程，课程仅对</w:t>
      </w:r>
      <w:r>
        <w:rPr>
          <w:rFonts w:hint="eastAsia" w:ascii="仿宋_GB2312" w:hAnsi="仿宋_GB2312" w:eastAsia="仿宋_GB2312" w:cs="仿宋_GB2312"/>
          <w:b/>
          <w:bCs/>
          <w:i w:val="0"/>
          <w:iCs w:val="0"/>
          <w:caps w:val="0"/>
          <w:color w:val="333333"/>
          <w:spacing w:val="0"/>
          <w:sz w:val="28"/>
          <w:szCs w:val="28"/>
          <w:bdr w:val="none" w:color="auto" w:sz="0" w:space="0"/>
          <w:shd w:val="clear" w:fill="FFFFFF"/>
        </w:rPr>
        <w:t>省直单位学员、青岛市、菏泽市学员开放</w:t>
      </w:r>
      <w:r>
        <w:rPr>
          <w:rFonts w:hint="eastAsia" w:ascii="仿宋_GB2312" w:hAnsi="仿宋_GB2312" w:eastAsia="仿宋_GB2312" w:cs="仿宋_GB2312"/>
          <w:i w:val="0"/>
          <w:iCs w:val="0"/>
          <w:caps w:val="0"/>
          <w:color w:val="333333"/>
          <w:spacing w:val="0"/>
          <w:sz w:val="28"/>
          <w:szCs w:val="28"/>
          <w:bdr w:val="none" w:color="auto" w:sz="0" w:space="0"/>
          <w:shd w:val="clear" w:fill="FFFFFF"/>
        </w:rPr>
        <w:t>，课程学完后，学时自动对接到山东省专业技术人员继续教育公共服务平台的“年度完成情况”</w:t>
      </w:r>
    </w:p>
    <w:p w14:paraId="2135AD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i w:val="0"/>
          <w:iCs w:val="0"/>
          <w:caps w:val="0"/>
          <w:color w:val="333333"/>
          <w:spacing w:val="0"/>
          <w:sz w:val="28"/>
          <w:szCs w:val="28"/>
          <w:bdr w:val="none" w:color="auto" w:sz="0" w:space="0"/>
          <w:shd w:val="clear" w:fill="FFFFFF"/>
        </w:rPr>
      </w:pPr>
      <w:r>
        <w:rPr>
          <w:rFonts w:hint="eastAsia" w:ascii="仿宋_GB2312" w:hAnsi="仿宋_GB2312" w:eastAsia="仿宋_GB2312" w:cs="仿宋_GB2312"/>
          <w:sz w:val="28"/>
          <w:szCs w:val="28"/>
        </w:rPr>
        <w:drawing>
          <wp:inline distT="0" distB="0" distL="114300" distR="114300">
            <wp:extent cx="5269865" cy="5450205"/>
            <wp:effectExtent l="0" t="0" r="698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9865" cy="5450205"/>
                    </a:xfrm>
                    <a:prstGeom prst="rect">
                      <a:avLst/>
                    </a:prstGeom>
                    <a:noFill/>
                    <a:ln>
                      <a:noFill/>
                    </a:ln>
                  </pic:spPr>
                </pic:pic>
              </a:graphicData>
            </a:graphic>
          </wp:inline>
        </w:drawing>
      </w:r>
    </w:p>
    <w:p w14:paraId="51382075">
      <w:pPr>
        <w:numPr>
          <w:numId w:val="0"/>
        </w:numPr>
        <w:spacing w:line="360" w:lineRule="auto"/>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也可点击右上角的【进入平台】--【课程中心】--【公需课/专业课】根据年度和专业分类进行选课。</w:t>
      </w:r>
    </w:p>
    <w:p w14:paraId="368245A0">
      <w:pPr>
        <w:numPr>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9230" cy="312039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9230" cy="3120390"/>
                    </a:xfrm>
                    <a:prstGeom prst="rect">
                      <a:avLst/>
                    </a:prstGeom>
                    <a:noFill/>
                    <a:ln>
                      <a:noFill/>
                    </a:ln>
                  </pic:spPr>
                </pic:pic>
              </a:graphicData>
            </a:graphic>
          </wp:inline>
        </w:drawing>
      </w:r>
    </w:p>
    <w:p w14:paraId="608D6821">
      <w:pPr>
        <w:numPr>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4150" cy="3568700"/>
            <wp:effectExtent l="0" t="0" r="1270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4150" cy="3568700"/>
                    </a:xfrm>
                    <a:prstGeom prst="rect">
                      <a:avLst/>
                    </a:prstGeom>
                    <a:noFill/>
                    <a:ln>
                      <a:noFill/>
                    </a:ln>
                  </pic:spPr>
                </pic:pic>
              </a:graphicData>
            </a:graphic>
          </wp:inline>
        </w:drawing>
      </w:r>
    </w:p>
    <w:p w14:paraId="44042071">
      <w:pPr>
        <w:numPr>
          <w:ilvl w:val="0"/>
          <w:numId w:val="1"/>
        </w:numPr>
        <w:spacing w:line="360" w:lineRule="auto"/>
        <w:ind w:left="0" w:leftChars="0" w:firstLine="0" w:firstLineChars="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支付缴费</w:t>
      </w:r>
    </w:p>
    <w:p w14:paraId="6EE17A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lang w:val="en-US" w:eastAsia="zh-CN"/>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选好课程后，点击【立即报名】--【去支付】--【立即支付】，然后微信扫码支付即可。</w:t>
      </w:r>
    </w:p>
    <w:p w14:paraId="0E4E30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bdr w:val="none" w:color="auto" w:sz="0" w:space="0"/>
          <w:shd w:val="clear" w:fill="FFFFFF"/>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支付成功，点击【我的学习】可以查询到已经报名的班级，点击【立即学习】即可进到学习界面，全部视频均学完后，学时会自动对接到省管理平台。</w:t>
      </w:r>
    </w:p>
    <w:p w14:paraId="4E9087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690" cy="3380740"/>
            <wp:effectExtent l="0" t="0" r="10160" b="101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266690" cy="3380740"/>
                    </a:xfrm>
                    <a:prstGeom prst="rect">
                      <a:avLst/>
                    </a:prstGeom>
                    <a:noFill/>
                    <a:ln>
                      <a:noFill/>
                    </a:ln>
                  </pic:spPr>
                </pic:pic>
              </a:graphicData>
            </a:graphic>
          </wp:inline>
        </w:drawing>
      </w:r>
    </w:p>
    <w:p w14:paraId="72642D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770" cy="2733040"/>
            <wp:effectExtent l="0" t="0" r="5080"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271770" cy="2733040"/>
                    </a:xfrm>
                    <a:prstGeom prst="rect">
                      <a:avLst/>
                    </a:prstGeom>
                    <a:noFill/>
                    <a:ln>
                      <a:noFill/>
                    </a:ln>
                  </pic:spPr>
                </pic:pic>
              </a:graphicData>
            </a:graphic>
          </wp:inline>
        </w:drawing>
      </w:r>
    </w:p>
    <w:p w14:paraId="546375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055" cy="3233420"/>
            <wp:effectExtent l="0" t="0" r="10795" b="508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5266055" cy="3233420"/>
                    </a:xfrm>
                    <a:prstGeom prst="rect">
                      <a:avLst/>
                    </a:prstGeom>
                    <a:noFill/>
                    <a:ln>
                      <a:noFill/>
                    </a:ln>
                  </pic:spPr>
                </pic:pic>
              </a:graphicData>
            </a:graphic>
          </wp:inline>
        </w:drawing>
      </w:r>
    </w:p>
    <w:p w14:paraId="477CF811">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0" w:firstLineChars="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领取发票</w:t>
      </w:r>
    </w:p>
    <w:p w14:paraId="233D5C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点击【我的发票】，添加需要开票的订单，点击【申请发票】，然后根据页面提示和【开票须知】填写对应的信息，点击提交！</w:t>
      </w:r>
    </w:p>
    <w:p w14:paraId="32F8DD5C">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100" w:right="0" w:rightChars="0"/>
        <w:rPr>
          <w:rFonts w:hint="eastAsia" w:ascii="仿宋_GB2312" w:hAnsi="仿宋_GB2312" w:eastAsia="仿宋_GB2312" w:cs="仿宋_GB2312"/>
          <w:i w:val="0"/>
          <w:iCs w:val="0"/>
          <w:caps w:val="0"/>
          <w:color w:val="333333"/>
          <w:spacing w:val="0"/>
          <w:sz w:val="28"/>
          <w:szCs w:val="28"/>
          <w:bdr w:val="none" w:color="auto" w:sz="0" w:space="0"/>
          <w:shd w:val="clear" w:fill="FFFFFF"/>
          <w:lang w:val="en-US" w:eastAsia="zh-CN"/>
        </w:rPr>
      </w:pPr>
      <w:r>
        <w:rPr>
          <w:rFonts w:hint="eastAsia" w:ascii="仿宋_GB2312" w:hAnsi="仿宋_GB2312" w:eastAsia="仿宋_GB2312" w:cs="仿宋_GB2312"/>
          <w:i w:val="0"/>
          <w:iCs w:val="0"/>
          <w:caps w:val="0"/>
          <w:color w:val="333333"/>
          <w:spacing w:val="0"/>
          <w:sz w:val="28"/>
          <w:szCs w:val="28"/>
          <w:bdr w:val="none" w:color="auto" w:sz="0" w:space="0"/>
          <w:shd w:val="clear" w:fill="FFFFFF"/>
          <w:lang w:val="en-US" w:eastAsia="zh-CN"/>
        </w:rPr>
        <w:t>1.</w:t>
      </w:r>
      <w:r>
        <w:rPr>
          <w:rFonts w:hint="eastAsia" w:ascii="仿宋_GB2312" w:hAnsi="仿宋_GB2312" w:eastAsia="仿宋_GB2312" w:cs="仿宋_GB2312"/>
          <w:i w:val="0"/>
          <w:iCs w:val="0"/>
          <w:caps w:val="0"/>
          <w:color w:val="333333"/>
          <w:spacing w:val="0"/>
          <w:sz w:val="28"/>
          <w:szCs w:val="28"/>
          <w:bdr w:val="none" w:color="auto" w:sz="0" w:space="0"/>
          <w:shd w:val="clear" w:fill="FFFFFF"/>
        </w:rPr>
        <w:t>本单位只提供纸质发票，</w:t>
      </w:r>
      <w:r>
        <w:rPr>
          <w:rFonts w:hint="eastAsia" w:ascii="仿宋_GB2312" w:hAnsi="仿宋_GB2312" w:eastAsia="仿宋_GB2312" w:cs="仿宋_GB2312"/>
          <w:i w:val="0"/>
          <w:iCs w:val="0"/>
          <w:caps w:val="0"/>
          <w:color w:val="333333"/>
          <w:spacing w:val="0"/>
          <w:sz w:val="28"/>
          <w:szCs w:val="28"/>
          <w:bdr w:val="none" w:color="auto" w:sz="0" w:space="0"/>
          <w:shd w:val="clear" w:fill="FFFFFF"/>
          <w:lang w:val="en-US" w:eastAsia="zh-CN"/>
        </w:rPr>
        <w:t>邮寄</w:t>
      </w:r>
    </w:p>
    <w:p w14:paraId="3034B05D">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100" w:right="0" w:rightChars="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2.多个订单可以合并,开具一张发票</w:t>
      </w:r>
    </w:p>
    <w:p w14:paraId="063C78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210" w:leftChars="100" w:right="0" w:firstLine="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3.每个月月底根据申请开具发票</w:t>
      </w:r>
    </w:p>
    <w:p w14:paraId="31B9CD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210" w:leftChars="100" w:right="0" w:firstLine="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4.开票前务必认真查看《开票须知》</w:t>
      </w:r>
    </w:p>
    <w:p w14:paraId="7C4A27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210" w:leftChars="100" w:right="0" w:firstLine="0"/>
        <w:rPr>
          <w:rFonts w:hint="eastAsia" w:ascii="仿宋_GB2312" w:hAnsi="仿宋_GB2312" w:eastAsia="仿宋_GB2312" w:cs="仿宋_GB2312"/>
          <w:i w:val="0"/>
          <w:iCs w:val="0"/>
          <w:caps w:val="0"/>
          <w:color w:val="333333"/>
          <w:spacing w:val="0"/>
          <w:sz w:val="28"/>
          <w:szCs w:val="28"/>
          <w:bdr w:val="none" w:color="auto" w:sz="0" w:space="0"/>
          <w:shd w:val="clear" w:fill="FFFFFF"/>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5.开具的发票均为《增值税普通发票》（纸质发票），</w:t>
      </w:r>
      <w:r>
        <w:rPr>
          <w:rFonts w:hint="eastAsia" w:ascii="仿宋_GB2312" w:hAnsi="仿宋_GB2312" w:eastAsia="仿宋_GB2312" w:cs="仿宋_GB2312"/>
          <w:b/>
          <w:bCs/>
          <w:i w:val="0"/>
          <w:iCs w:val="0"/>
          <w:caps w:val="0"/>
          <w:color w:val="333333"/>
          <w:spacing w:val="0"/>
          <w:sz w:val="28"/>
          <w:szCs w:val="28"/>
          <w:bdr w:val="none" w:color="auto" w:sz="0" w:space="0"/>
          <w:shd w:val="clear" w:fill="FFFFFF"/>
        </w:rPr>
        <w:t>需您提供准确的手机号码及邮寄地址</w:t>
      </w:r>
      <w:r>
        <w:rPr>
          <w:rFonts w:hint="eastAsia" w:ascii="仿宋_GB2312" w:hAnsi="仿宋_GB2312" w:eastAsia="仿宋_GB2312" w:cs="仿宋_GB2312"/>
          <w:i w:val="0"/>
          <w:iCs w:val="0"/>
          <w:caps w:val="0"/>
          <w:color w:val="333333"/>
          <w:spacing w:val="0"/>
          <w:sz w:val="28"/>
          <w:szCs w:val="28"/>
          <w:bdr w:val="none" w:color="auto" w:sz="0" w:space="0"/>
          <w:shd w:val="clear" w:fill="FFFFFF"/>
        </w:rPr>
        <w:t>，每个月底进行开票。</w:t>
      </w:r>
    </w:p>
    <w:p w14:paraId="0F98EB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135" cy="3202940"/>
            <wp:effectExtent l="0" t="0" r="5715" b="165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5271135" cy="3202940"/>
                    </a:xfrm>
                    <a:prstGeom prst="rect">
                      <a:avLst/>
                    </a:prstGeom>
                    <a:noFill/>
                    <a:ln>
                      <a:noFill/>
                    </a:ln>
                  </pic:spPr>
                </pic:pic>
              </a:graphicData>
            </a:graphic>
          </wp:inline>
        </w:drawing>
      </w:r>
    </w:p>
    <w:p w14:paraId="006064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690" cy="3916680"/>
            <wp:effectExtent l="0" t="0" r="10160" b="762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66690" cy="3916680"/>
                    </a:xfrm>
                    <a:prstGeom prst="rect">
                      <a:avLst/>
                    </a:prstGeom>
                    <a:noFill/>
                    <a:ln>
                      <a:noFill/>
                    </a:ln>
                  </pic:spPr>
                </pic:pic>
              </a:graphicData>
            </a:graphic>
          </wp:inline>
        </w:drawing>
      </w:r>
    </w:p>
    <w:p w14:paraId="4B75B3E3">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0" w:firstLineChars="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在线学习</w:t>
      </w:r>
    </w:p>
    <w:p w14:paraId="44883E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点击【我的学习】即可看到已经选购的课程，然后点击【继续学习】即可进去到课程学习界面，视频列表中的所有视频进度全部完成，学时才能正常对接</w:t>
      </w:r>
    </w:p>
    <w:p w14:paraId="1B1C7F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firstLine="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注意：</w:t>
      </w:r>
    </w:p>
    <w:p w14:paraId="198475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firstLine="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1、学习过程中不可拖拽进度条，拖拽进度条不记录学时。</w:t>
      </w:r>
    </w:p>
    <w:p w14:paraId="25F002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firstLine="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2、违反规则使用插件的刷课行为被后台检测到不记录学时。</w:t>
      </w:r>
    </w:p>
    <w:p w14:paraId="196546C6">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055" cy="2995930"/>
            <wp:effectExtent l="0" t="0" r="10795" b="1397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266055" cy="2995930"/>
                    </a:xfrm>
                    <a:prstGeom prst="rect">
                      <a:avLst/>
                    </a:prstGeom>
                    <a:noFill/>
                    <a:ln>
                      <a:noFill/>
                    </a:ln>
                  </pic:spPr>
                </pic:pic>
              </a:graphicData>
            </a:graphic>
          </wp:inline>
        </w:drawing>
      </w:r>
    </w:p>
    <w:p w14:paraId="166AC4D2">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58435" cy="2428875"/>
            <wp:effectExtent l="0" t="0" r="18415"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5258435" cy="2428875"/>
                    </a:xfrm>
                    <a:prstGeom prst="rect">
                      <a:avLst/>
                    </a:prstGeom>
                    <a:noFill/>
                    <a:ln>
                      <a:noFill/>
                    </a:ln>
                  </pic:spPr>
                </pic:pic>
              </a:graphicData>
            </a:graphic>
          </wp:inline>
        </w:drawing>
      </w:r>
    </w:p>
    <w:p w14:paraId="7AFF2D36">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rightChars="0" w:firstLine="0" w:firstLineChars="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申请售后</w:t>
      </w:r>
    </w:p>
    <w:p w14:paraId="47DF18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若您在学习过程中，有退款或者换课的需求，请点击【我的订单】，找到您需要退款或者换课的订单，点击【申请售后】，根据页面提示填写相应的信息，即可完成退款或者换课！</w:t>
      </w:r>
    </w:p>
    <w:p w14:paraId="03CA16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60" w:firstLineChars="200"/>
        <w:rPr>
          <w:rFonts w:hint="eastAsia" w:ascii="仿宋_GB2312" w:hAnsi="仿宋_GB2312" w:eastAsia="仿宋_GB2312" w:cs="仿宋_GB2312"/>
          <w:i w:val="0"/>
          <w:iCs w:val="0"/>
          <w:caps w:val="0"/>
          <w:color w:val="333333"/>
          <w:spacing w:val="0"/>
          <w:sz w:val="28"/>
          <w:szCs w:val="28"/>
        </w:rPr>
      </w:pPr>
      <w:r>
        <w:rPr>
          <w:rFonts w:hint="eastAsia" w:ascii="仿宋_GB2312" w:hAnsi="仿宋_GB2312" w:eastAsia="仿宋_GB2312" w:cs="仿宋_GB2312"/>
          <w:i w:val="0"/>
          <w:iCs w:val="0"/>
          <w:caps w:val="0"/>
          <w:color w:val="333333"/>
          <w:spacing w:val="0"/>
          <w:sz w:val="28"/>
          <w:szCs w:val="28"/>
          <w:bdr w:val="none" w:color="auto" w:sz="0" w:space="0"/>
          <w:shd w:val="clear" w:fill="FFFFFF"/>
        </w:rPr>
        <w:t>注意：退款和售后审核约3-5个工作日，退款到账时间一般是审核完成后3个工作日左右！</w:t>
      </w:r>
    </w:p>
    <w:p w14:paraId="5723CF6D">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退款条件：班级进度不满10%或者购买90天以内</w:t>
      </w:r>
    </w:p>
    <w:p w14:paraId="31234E8D">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换课条件：只能换同等价位的课程</w:t>
      </w:r>
    </w:p>
    <w:p w14:paraId="6D20C802">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3040" cy="2717800"/>
            <wp:effectExtent l="0" t="0" r="3810" b="635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5273040" cy="2717800"/>
                    </a:xfrm>
                    <a:prstGeom prst="rect">
                      <a:avLst/>
                    </a:prstGeom>
                    <a:noFill/>
                    <a:ln>
                      <a:noFill/>
                    </a:ln>
                  </pic:spPr>
                </pic:pic>
              </a:graphicData>
            </a:graphic>
          </wp:inline>
        </w:drawing>
      </w:r>
    </w:p>
    <w:p w14:paraId="0C443A19">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71135" cy="3334385"/>
            <wp:effectExtent l="0" t="0" r="5715" b="1841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5271135" cy="3334385"/>
                    </a:xfrm>
                    <a:prstGeom prst="rect">
                      <a:avLst/>
                    </a:prstGeom>
                    <a:noFill/>
                    <a:ln>
                      <a:noFill/>
                    </a:ln>
                  </pic:spPr>
                </pic:pic>
              </a:graphicData>
            </a:graphic>
          </wp:inline>
        </w:drawing>
      </w:r>
    </w:p>
    <w:p w14:paraId="54BB9972">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rPr>
      </w:pPr>
    </w:p>
    <w:p w14:paraId="21B49553">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rPr>
      </w:pPr>
    </w:p>
    <w:p w14:paraId="073FA9DF">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_GB2312" w:hAnsi="仿宋_GB2312" w:eastAsia="仿宋_GB2312" w:cs="仿宋_GB2312"/>
          <w:sz w:val="28"/>
          <w:szCs w:val="28"/>
        </w:rPr>
      </w:pPr>
    </w:p>
    <w:p w14:paraId="6E05A5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sz w:val="28"/>
          <w:szCs w:val="28"/>
          <w:lang w:eastAsia="zh-CN"/>
        </w:rPr>
      </w:pPr>
    </w:p>
    <w:p w14:paraId="2E40F8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i w:val="0"/>
          <w:iCs w:val="0"/>
          <w:caps w:val="0"/>
          <w:color w:val="333333"/>
          <w:spacing w:val="0"/>
          <w:sz w:val="28"/>
          <w:szCs w:val="28"/>
          <w:bdr w:val="none" w:color="auto" w:sz="0" w:space="0"/>
          <w:shd w:val="clear" w:fill="FFFFFF"/>
          <w:lang w:eastAsia="zh-CN"/>
        </w:rPr>
      </w:pPr>
    </w:p>
    <w:p w14:paraId="1C1588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仿宋_GB2312" w:hAnsi="仿宋_GB2312" w:eastAsia="仿宋_GB2312" w:cs="仿宋_GB2312"/>
          <w:i w:val="0"/>
          <w:iCs w:val="0"/>
          <w:caps w:val="0"/>
          <w:color w:val="333333"/>
          <w:spacing w:val="0"/>
          <w:sz w:val="28"/>
          <w:szCs w:val="28"/>
          <w:bdr w:val="none" w:color="auto" w:sz="0" w:space="0"/>
          <w:shd w:val="clear" w:fill="FFFFFF"/>
          <w:lang w:eastAsia="zh-CN"/>
        </w:rPr>
      </w:pPr>
    </w:p>
    <w:p w14:paraId="5F6237CD">
      <w:pPr>
        <w:numPr>
          <w:numId w:val="0"/>
        </w:numPr>
        <w:spacing w:line="360" w:lineRule="auto"/>
        <w:ind w:leftChars="0"/>
        <w:rPr>
          <w:rFonts w:hint="eastAsia" w:ascii="仿宋_GB2312" w:hAnsi="仿宋_GB2312" w:eastAsia="仿宋_GB2312" w:cs="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EA647"/>
    <w:multiLevelType w:val="singleLevel"/>
    <w:tmpl w:val="8DFEA64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BE139E"/>
    <w:rsid w:val="0ABE139E"/>
    <w:rsid w:val="70635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30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2025-12-26T01:13:00Z</dcterms:created>
  <dc:creator>陈吉勇</dc:creator>
  <cp:lastModifiedBy>陈吉勇</cp:lastModifiedBy>
  <dcterms:modified xsi:type="dcterms:W3CDTF">2025-12-26T01:44:55Z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D18174ABFFDC4FE39F4386B8389F0062_11</vt:lpwstr>
  </property>
  <property fmtid="{D5CDD505-2E9C-101B-9397-08002B2CF9AE}" pid="4" name="KSOTemplateDocerSaveRecord">
    <vt:lpwstr>eyJoZGlkIjoiZjBkZmMyNTQwOWUzM2YyY2NlNDk3NDVjZjkxZGMxM2IiLCJ1c2VySWQiOiI1MjkwNDg1MDkifQ==</vt:lpwstr>
  </property>
</Properties>
</file>